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5A" w:rsidRDefault="00392F50" w:rsidP="00392F50">
      <w:pPr>
        <w:tabs>
          <w:tab w:val="left" w:pos="1005"/>
        </w:tabs>
        <w:spacing w:after="0"/>
        <w:ind w:left="-1440" w:right="172"/>
      </w:pPr>
      <w:r>
        <w:tab/>
      </w:r>
    </w:p>
    <w:p w:rsidR="00392F50" w:rsidRDefault="00392F50" w:rsidP="00392F50">
      <w:pPr>
        <w:tabs>
          <w:tab w:val="left" w:pos="1005"/>
        </w:tabs>
        <w:spacing w:after="0"/>
        <w:ind w:left="-1440" w:right="172"/>
      </w:pPr>
      <w:bookmarkStart w:id="0" w:name="_GoBack"/>
      <w:bookmarkEnd w:id="0"/>
    </w:p>
    <w:tbl>
      <w:tblPr>
        <w:tblStyle w:val="TableGrid"/>
        <w:tblW w:w="8696" w:type="dxa"/>
        <w:tblInd w:w="159" w:type="dxa"/>
        <w:tblCellMar>
          <w:top w:w="0" w:type="dxa"/>
          <w:left w:w="2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5"/>
        <w:gridCol w:w="658"/>
        <w:gridCol w:w="7463"/>
      </w:tblGrid>
      <w:tr w:rsidR="001A255A">
        <w:trPr>
          <w:trHeight w:val="223"/>
        </w:trPr>
        <w:tc>
          <w:tcPr>
            <w:tcW w:w="8696" w:type="dxa"/>
            <w:gridSpan w:val="3"/>
            <w:tcBorders>
              <w:top w:val="single" w:sz="9" w:space="0" w:color="000000"/>
              <w:left w:val="single" w:sz="9" w:space="0" w:color="000000"/>
              <w:bottom w:val="double" w:sz="9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right="2131" w:firstLine="2593"/>
            </w:pPr>
            <w:r>
              <w:rPr>
                <w:rFonts w:ascii="Arial" w:eastAsia="Arial" w:hAnsi="Arial" w:cs="Arial"/>
                <w:b/>
                <w:sz w:val="12"/>
              </w:rPr>
              <w:t>NESUBVENCIONISANE DELATNOSTI - SAMOZAPOŠLJAVANJE Sektor</w:t>
            </w:r>
            <w:r>
              <w:rPr>
                <w:rFonts w:ascii="Arial" w:eastAsia="Arial" w:hAnsi="Arial" w:cs="Arial"/>
                <w:b/>
                <w:sz w:val="12"/>
              </w:rPr>
              <w:tab/>
              <w:t>Grupa</w:t>
            </w:r>
            <w:r>
              <w:rPr>
                <w:rFonts w:ascii="Arial" w:eastAsia="Arial" w:hAnsi="Arial" w:cs="Arial"/>
                <w:b/>
                <w:sz w:val="12"/>
              </w:rPr>
              <w:tab/>
              <w:t>Naziv</w:t>
            </w:r>
          </w:p>
        </w:tc>
      </w:tr>
      <w:tr w:rsidR="001A255A">
        <w:trPr>
          <w:trHeight w:val="170"/>
        </w:trPr>
        <w:tc>
          <w:tcPr>
            <w:tcW w:w="575" w:type="dxa"/>
            <w:tcBorders>
              <w:top w:val="double" w:sz="9" w:space="0" w:color="000000"/>
              <w:left w:val="single" w:sz="9" w:space="0" w:color="000000"/>
              <w:bottom w:val="single" w:sz="60" w:space="0" w:color="99CC00"/>
              <w:right w:val="single" w:sz="9" w:space="0" w:color="000000"/>
            </w:tcBorders>
            <w:vAlign w:val="center"/>
          </w:tcPr>
          <w:p w:rsidR="001A255A" w:rsidRDefault="001A255A"/>
        </w:tc>
        <w:tc>
          <w:tcPr>
            <w:tcW w:w="658" w:type="dxa"/>
            <w:tcBorders>
              <w:top w:val="doub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1A255A" w:rsidRDefault="001A255A"/>
        </w:tc>
        <w:tc>
          <w:tcPr>
            <w:tcW w:w="7464" w:type="dxa"/>
            <w:tcBorders>
              <w:top w:val="doub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bottom"/>
          </w:tcPr>
          <w:p w:rsidR="001A255A" w:rsidRDefault="00925060">
            <w:pPr>
              <w:spacing w:after="0"/>
              <w:ind w:left="2105"/>
            </w:pPr>
            <w:r>
              <w:rPr>
                <w:rFonts w:ascii="Arial" w:eastAsia="Arial" w:hAnsi="Arial" w:cs="Arial"/>
                <w:b/>
                <w:sz w:val="12"/>
              </w:rPr>
              <w:t>POLJOPRIVREDA, ŠUMARSTVO I RIBARSTVO</w:t>
            </w:r>
          </w:p>
        </w:tc>
      </w:tr>
      <w:tr w:rsidR="001A255A">
        <w:trPr>
          <w:trHeight w:val="195"/>
        </w:trPr>
        <w:tc>
          <w:tcPr>
            <w:tcW w:w="575" w:type="dxa"/>
            <w:vMerge w:val="restart"/>
            <w:tcBorders>
              <w:top w:val="single" w:sz="60" w:space="0" w:color="99CC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9CC00"/>
          </w:tcPr>
          <w:p w:rsidR="001A255A" w:rsidRDefault="00925060">
            <w:pPr>
              <w:spacing w:after="0"/>
              <w:ind w:left="109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A</w:t>
            </w:r>
          </w:p>
        </w:tc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01.11</w:t>
            </w:r>
          </w:p>
        </w:tc>
        <w:tc>
          <w:tcPr>
            <w:tcW w:w="746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Gajenje žita (osim pirinča), leguminoza i uljarica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01.12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Gajenje pirinča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01.13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Gajenje povrća, bostana, korenastih i krtolastih biljaka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01.14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Gajenje šećerne trske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01.15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Gajenje duvana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01.16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Gajenje biljaka za proizvodnju vlakana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01.19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Gajenje ostalih jednogodišnjih i dvogodišnjih biljaka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01.21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Gajenje grožđa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01.22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Gajenje tropskog i suptropskog voća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01.23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Gajenje agruma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01.24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Gajenje jabučastog i koštičavog voća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01.25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Gajenje ostalog drvenastog, žbunastog i jezgrastog voća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01.26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Gajenje uljnih plodova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01.27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Gajenje biljaka za pripremanje napitaka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01.28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Gajenje začinskog, aromatičnog i lekovitog bilja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01.29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Gajenje ostalih višegodišnjih biljaka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01.30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Gajenje sadnog materijala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01.41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Uzgoj muznih krava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01.42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Uzgoj drugih goveda i bivola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01.43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Uzgoj konja i drugih kopitara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01.44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Uzgoj kamila i lama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01.45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Uzgoj ovaca i koza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01.46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Uzgoj svinja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01.47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Uzgoj živine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01.49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Uzgoj ostalih životinja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01.50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Mešovita poljoprivredna proizvodnja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01.61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Uslužne delatnosti u gajenju useva i zasada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01.62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Pomoćne delatnosti u uzgoju životinja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01.63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Aktivnosti posle žetve</w:t>
            </w:r>
          </w:p>
        </w:tc>
      </w:tr>
      <w:tr w:rsidR="001A255A">
        <w:trPr>
          <w:trHeight w:val="220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60" w:space="0" w:color="FFCC99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01.64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60" w:space="0" w:color="FFCC99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Dorada semena</w:t>
            </w:r>
          </w:p>
        </w:tc>
      </w:tr>
      <w:tr w:rsidR="001A255A">
        <w:trPr>
          <w:trHeight w:val="78"/>
        </w:trPr>
        <w:tc>
          <w:tcPr>
            <w:tcW w:w="57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CC99"/>
          </w:tcPr>
          <w:p w:rsidR="001A255A" w:rsidRDefault="00925060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D</w:t>
            </w:r>
          </w:p>
        </w:tc>
        <w:tc>
          <w:tcPr>
            <w:tcW w:w="8121" w:type="dxa"/>
            <w:gridSpan w:val="2"/>
            <w:tcBorders>
              <w:top w:val="single" w:sz="60" w:space="0" w:color="FFCC99"/>
              <w:left w:val="single" w:sz="9" w:space="0" w:color="000000"/>
              <w:bottom w:val="single" w:sz="60" w:space="0" w:color="FFCC99"/>
              <w:right w:val="single" w:sz="9" w:space="0" w:color="000000"/>
            </w:tcBorders>
          </w:tcPr>
          <w:p w:rsidR="001A255A" w:rsidRDefault="00925060">
            <w:pPr>
              <w:spacing w:after="0"/>
              <w:ind w:left="109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SNABDEVANJE ELEKTRIČNOM ENERGIJOM, GASOM, PAROM I KLIMATIZACIJA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60" w:space="0" w:color="FFCC99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35.14</w:t>
            </w:r>
          </w:p>
        </w:tc>
        <w:tc>
          <w:tcPr>
            <w:tcW w:w="7464" w:type="dxa"/>
            <w:tcBorders>
              <w:top w:val="single" w:sz="60" w:space="0" w:color="FFCC99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električnom energijom</w:t>
            </w:r>
          </w:p>
        </w:tc>
      </w:tr>
      <w:tr w:rsidR="001A255A">
        <w:trPr>
          <w:trHeight w:val="220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35.23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1A255A" w:rsidRDefault="00925060">
            <w:pPr>
              <w:spacing w:after="6"/>
              <w:ind w:left="2"/>
            </w:pPr>
            <w:r>
              <w:rPr>
                <w:rFonts w:ascii="Arial" w:eastAsia="Arial" w:hAnsi="Arial" w:cs="Arial"/>
                <w:sz w:val="12"/>
              </w:rPr>
              <w:t>Trgovina gasovitim gorivima preko gasovodne mreže</w:t>
            </w:r>
          </w:p>
          <w:p w:rsidR="001A255A" w:rsidRDefault="00925060">
            <w:pPr>
              <w:spacing w:after="0"/>
              <w:ind w:left="779"/>
            </w:pPr>
            <w:r>
              <w:rPr>
                <w:rFonts w:ascii="Arial" w:eastAsia="Arial" w:hAnsi="Arial" w:cs="Arial"/>
                <w:b/>
                <w:sz w:val="12"/>
              </w:rPr>
              <w:t>TRGOVINA NA VELIKO I TRGOVINA NA MALO; POPRAVKA MOTORNIH VOZILA I MOTOCIKALA</w:t>
            </w:r>
          </w:p>
        </w:tc>
      </w:tr>
      <w:tr w:rsidR="001A255A">
        <w:trPr>
          <w:trHeight w:val="78"/>
        </w:trPr>
        <w:tc>
          <w:tcPr>
            <w:tcW w:w="575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CCFFFF"/>
            <w:vAlign w:val="bottom"/>
          </w:tcPr>
          <w:p w:rsidR="001A255A" w:rsidRDefault="00925060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G</w:t>
            </w:r>
          </w:p>
        </w:tc>
        <w:tc>
          <w:tcPr>
            <w:tcW w:w="812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255A" w:rsidRDefault="001A255A"/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45.11</w:t>
            </w:r>
          </w:p>
        </w:tc>
        <w:tc>
          <w:tcPr>
            <w:tcW w:w="746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automobilima i lakim motornim vozilima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45.19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ostalim motornim vozilima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45.31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delovima i opremom za motorna vozila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45.32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delovima i opremom za motorna vozila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45.40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motociklima, delovima i priborom, održavanje i popravka motocikala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46.11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Posredovanje u prodaji poljoprivrednih sirovina, životinja, tekstilnih sirovina i poluproizvoda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46.12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Posredovanje u prodaji goriva, ruda, metala i industrijskih hemikalija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46.13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Posredovanje u prodaji drvne građe i građevinskog materijala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46.14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Posredovanje u prodaji mašina, industrijske opreme, brodova i aviona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46.15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Posredovanje u prodaji nameštaja, predmeta za domaćinstvo i metalne robe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46.16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Posredovanje u prodaji tekstila, odeće, krzna, obuće i predmeta od kože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46.17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Posredovanje u prodaji hrane, pića i duvana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46.18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Specijalizovano posredovanje u prodaji posebnih proizvoda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46.19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Posredovanje u prodaji raznovrsnih proizvoda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46.21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žitom, sirovim duvanom, semenjem i hranom za životinje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46.22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cvećem i sadnicama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46.23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životinjama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46.24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sirovom, nedovršenom i dovršenom kožom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46.31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voćem i povrćem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46.32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mesom i proizvodima od mesa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46.33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mlečnim proizvodima, jajima i jestivim uljima i mastima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46.34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pićima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46.35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duvanskim proizvodima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46.36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šećerom, čokoladom i slatkišima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46.37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kafom, čajevima, kakaom i začinima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46.38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ostalom hranom, uključujući ribu, ljuskare i mekušce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46.39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Nespecijalizovana trgovina na veliko hranom, pićima i duvanom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46.41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tekstilom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46.42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odećom i obućom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46.43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električnim aparatima za domaćinstvo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46.44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porculanom, staklenom robom i sredstvima za čišćenje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46.45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parfimerijskim i kozmetičkim proizvodima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46.46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farmaceutskim proizvodima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46.47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nameštajem, tepisima i opremom za osvetljenjem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46.48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satovima i nakitom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46.49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ostalim proizvodima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46.51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računarima, računarskom opremom i softverima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46.52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elektronskim i telekomunikacionim delovima i opremom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46.61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poljoprivrednim mašinama, opremom i priborom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46.62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alatnim mašinama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46.63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rudarskim i građevinskim mašinama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46.64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mašinama za tekstilnu industriju i mašinama za šivenje i pletenje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46.65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kancelarijskim nameštajem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46.66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ostalim kancelarijskim mašinama i opremom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46.69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ostalim mašinama i opremom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46.71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čvrstim, tečnim i gasovitim gorivima i sličnim proizvodima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46.72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metalima i metalnim rudama</w:t>
            </w:r>
          </w:p>
        </w:tc>
      </w:tr>
      <w:tr w:rsidR="001A255A">
        <w:trPr>
          <w:trHeight w:val="143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nil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46.73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drvetom, građevinskim materijalom i sanitarnom opremom</w:t>
            </w:r>
          </w:p>
        </w:tc>
      </w:tr>
    </w:tbl>
    <w:p w:rsidR="001A255A" w:rsidRDefault="001A255A">
      <w:pPr>
        <w:spacing w:after="0"/>
        <w:ind w:left="-1440" w:right="172"/>
      </w:pPr>
    </w:p>
    <w:tbl>
      <w:tblPr>
        <w:tblStyle w:val="TableGrid"/>
        <w:tblW w:w="8696" w:type="dxa"/>
        <w:tblInd w:w="159" w:type="dxa"/>
        <w:tblCellMar>
          <w:top w:w="0" w:type="dxa"/>
          <w:left w:w="2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5"/>
        <w:gridCol w:w="658"/>
        <w:gridCol w:w="7463"/>
      </w:tblGrid>
      <w:tr w:rsidR="001A255A">
        <w:trPr>
          <w:trHeight w:val="223"/>
        </w:trPr>
        <w:tc>
          <w:tcPr>
            <w:tcW w:w="1233" w:type="dxa"/>
            <w:gridSpan w:val="2"/>
            <w:tcBorders>
              <w:top w:val="single" w:sz="9" w:space="0" w:color="000000"/>
              <w:left w:val="single" w:sz="9" w:space="0" w:color="000000"/>
              <w:bottom w:val="double" w:sz="9" w:space="0" w:color="000000"/>
              <w:right w:val="nil"/>
            </w:tcBorders>
            <w:vAlign w:val="bottom"/>
          </w:tcPr>
          <w:p w:rsidR="001A255A" w:rsidRDefault="00925060">
            <w:pPr>
              <w:tabs>
                <w:tab w:val="center" w:pos="180"/>
                <w:tab w:val="center" w:pos="74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2"/>
              </w:rPr>
              <w:t>Sektor</w:t>
            </w:r>
            <w:r>
              <w:rPr>
                <w:rFonts w:ascii="Arial" w:eastAsia="Arial" w:hAnsi="Arial" w:cs="Arial"/>
                <w:b/>
                <w:sz w:val="12"/>
              </w:rPr>
              <w:tab/>
              <w:t>Grupa</w:t>
            </w:r>
          </w:p>
        </w:tc>
        <w:tc>
          <w:tcPr>
            <w:tcW w:w="7464" w:type="dxa"/>
            <w:tcBorders>
              <w:top w:val="single" w:sz="9" w:space="0" w:color="000000"/>
              <w:left w:val="nil"/>
              <w:bottom w:val="double" w:sz="9" w:space="0" w:color="000000"/>
              <w:right w:val="single" w:sz="9" w:space="0" w:color="000000"/>
            </w:tcBorders>
          </w:tcPr>
          <w:p w:rsidR="001A255A" w:rsidRDefault="00925060">
            <w:pPr>
              <w:spacing w:after="6"/>
              <w:ind w:left="1361"/>
            </w:pPr>
            <w:r>
              <w:rPr>
                <w:rFonts w:ascii="Arial" w:eastAsia="Arial" w:hAnsi="Arial" w:cs="Arial"/>
                <w:b/>
                <w:sz w:val="12"/>
              </w:rPr>
              <w:t>NESUBVENCIONISANE DELATNOSTI - SAMOZAPOŠLJAVANJE</w:t>
            </w:r>
          </w:p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Naziv</w:t>
            </w:r>
          </w:p>
        </w:tc>
      </w:tr>
      <w:tr w:rsidR="001A255A">
        <w:trPr>
          <w:trHeight w:val="96"/>
        </w:trPr>
        <w:tc>
          <w:tcPr>
            <w:tcW w:w="575" w:type="dxa"/>
            <w:tcBorders>
              <w:top w:val="doub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double" w:sz="9" w:space="0" w:color="000000"/>
              <w:left w:val="single" w:sz="9" w:space="0" w:color="000000"/>
              <w:bottom w:val="single" w:sz="5" w:space="0" w:color="000000"/>
              <w:right w:val="nil"/>
            </w:tcBorders>
            <w:vAlign w:val="center"/>
          </w:tcPr>
          <w:p w:rsidR="001A255A" w:rsidRDefault="001A255A"/>
        </w:tc>
        <w:tc>
          <w:tcPr>
            <w:tcW w:w="7464" w:type="dxa"/>
            <w:tcBorders>
              <w:top w:val="double" w:sz="9" w:space="0" w:color="000000"/>
              <w:left w:val="nil"/>
              <w:bottom w:val="single" w:sz="5" w:space="0" w:color="000000"/>
              <w:right w:val="single" w:sz="9" w:space="0" w:color="000000"/>
            </w:tcBorders>
            <w:vAlign w:val="center"/>
          </w:tcPr>
          <w:p w:rsidR="001A255A" w:rsidRDefault="001A255A"/>
        </w:tc>
      </w:tr>
      <w:tr w:rsidR="001A255A">
        <w:trPr>
          <w:trHeight w:val="139"/>
        </w:trPr>
        <w:tc>
          <w:tcPr>
            <w:tcW w:w="575" w:type="dxa"/>
            <w:vMerge w:val="restart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  <w:vAlign w:val="center"/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46.74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metalnom robom, instalacionim materijalima, opremom i priborom za grejanje</w:t>
            </w:r>
            <w:r>
              <w:rPr>
                <w:rFonts w:ascii="Arial" w:eastAsia="Arial" w:hAnsi="Arial" w:cs="Arial"/>
                <w:b/>
                <w:sz w:val="12"/>
              </w:rPr>
              <w:t>POLJOPRIVREDA, ŠUMARSTVO I RIBARSTVO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46.75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hemijskim proizvodima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46.76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ostalim poluproizvodima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46.77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veliko otpacima i ostacima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46.90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 xml:space="preserve">Nespecijalizovana trgovina na veliko 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47.11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u nespecijalizovanim prodavnicama, pretežno hranom, pićima i duvanom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47.19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Ostala trgovina na malo u nespecijalizovanim prodavnicama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47.21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voćem i povrćem u specijalizovanim prodavnicama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47.22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mesom i proizvodima od mesa u specijalizovanim prodavnicama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47.23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ribom, ljuskarima i mekušcima u specijalizovanim prodavnicama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47.24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hlebom, testeninom, kolačima i slatkišima u specijalizovanim prodavnicama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47.25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pićima u specijalizovanim prodavnicama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47.26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proizvodima od duvana u specijalizovanim prodavnicama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47.29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Ostala trgovina na malo hranom u specijalizovanim prodavnicama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47.30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motornim gorivima u specijalizovanim prodavnicama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47.41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računarima, perifernim jedinicama i softverom u specijalizovanim prodavnicama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47.42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telekomunikacionom opremom u specijalizovanim prodavnicama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47.43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audio i video opremom u specijalizovanim prodavnicama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47.51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tekstilom u specijalizovanim prodavnicama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47.52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metalnom robom, bojama i staklom u specijalizovanim prodavnicama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47.53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tepisima, zidnim i podnim oblogama u specijalizovanim prodavnicama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47.54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električnim aparatima za domaćinstvo u specijalizovanim prodavnicama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47.59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nameštajem, opremom za osvetljenje i ostalim predmetima za domaćinstvo u specijalizovanim prodavnicama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47.61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knjigama u specij</w:t>
            </w:r>
            <w:r>
              <w:rPr>
                <w:rFonts w:ascii="Arial" w:eastAsia="Arial" w:hAnsi="Arial" w:cs="Arial"/>
                <w:sz w:val="12"/>
              </w:rPr>
              <w:t>alizovanim prodavnicama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47.62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novinama i kancelarijskim materijalom u specijalizovanim prodavnicama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47.63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muzičkim i video zapisima u specijalizovanim prodavnicama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47.64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sportskom opremom u specijalizovanim prodavnicama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47.65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igrama i igračkama u specijalizovanim prodavnicama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47.71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odećom u specijalizovanim prodavnicama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47.72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obućom i predmetima od kože u specijalizovanim prodavnicama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47.73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farmaceutskim proizvodima u specijalizovanim prodavnicama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47.74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medicinskim i ortopedskim pomagalima u specijalizovanim prodavnicama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47.75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kozmetičkim i toaletnim proizvodima u specijalizovanim prodavnicama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47.76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cvećem, sadnicama, semenjem, đubrivima, kućnim ljubimcima i hranom za kućne ljubimce u specijalizovanim prodavnicama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47.77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</w:t>
            </w:r>
            <w:r>
              <w:rPr>
                <w:rFonts w:ascii="Arial" w:eastAsia="Arial" w:hAnsi="Arial" w:cs="Arial"/>
                <w:sz w:val="12"/>
              </w:rPr>
              <w:t>o satovima i nakitom u specijalizovanim prodavnicama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47.78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Ostala trgovina na malo novim proizvodima u specijalizovanim prodavnicama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47.79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polovnom robom u prodavnicama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47.81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hranom, pićima i duvansikm proizvodima na tezgama i pijacama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47.82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tekstilom, odećom i obućom na tezgama i pijacama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47.89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ostalom robom na tezgama i pijacama</w:t>
            </w:r>
          </w:p>
        </w:tc>
      </w:tr>
      <w:tr w:rsidR="001A255A">
        <w:trPr>
          <w:trHeight w:val="14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47.91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Trgovina na malo posredstvom pošte ili preko interneta</w:t>
            </w:r>
          </w:p>
        </w:tc>
      </w:tr>
      <w:tr w:rsidR="001A255A">
        <w:trPr>
          <w:trHeight w:val="258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5" w:space="0" w:color="000000"/>
              <w:left w:val="single" w:sz="9" w:space="0" w:color="000000"/>
              <w:bottom w:val="double" w:sz="9" w:space="0" w:color="000000"/>
              <w:right w:val="single" w:sz="5" w:space="0" w:color="000000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47.99</w:t>
            </w:r>
          </w:p>
        </w:tc>
        <w:tc>
          <w:tcPr>
            <w:tcW w:w="7464" w:type="dxa"/>
            <w:tcBorders>
              <w:top w:val="single" w:sz="5" w:space="0" w:color="000000"/>
              <w:left w:val="single" w:sz="5" w:space="0" w:color="000000"/>
              <w:bottom w:val="double" w:sz="9" w:space="0" w:color="000000"/>
              <w:right w:val="single" w:sz="9" w:space="0" w:color="000000"/>
            </w:tcBorders>
          </w:tcPr>
          <w:p w:rsidR="001A255A" w:rsidRDefault="00925060">
            <w:pPr>
              <w:spacing w:after="6"/>
              <w:ind w:left="2"/>
            </w:pPr>
            <w:r>
              <w:rPr>
                <w:rFonts w:ascii="Arial" w:eastAsia="Arial" w:hAnsi="Arial" w:cs="Arial"/>
                <w:sz w:val="12"/>
              </w:rPr>
              <w:t>Ostala trgovina na malo izvan prodavnica, tezgi i pijaca</w:t>
            </w:r>
          </w:p>
          <w:p w:rsidR="001A255A" w:rsidRDefault="00925060">
            <w:pPr>
              <w:spacing w:after="0"/>
              <w:ind w:right="553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SAOBRAĆAJ I SKLADIŠTENJE</w:t>
            </w:r>
          </w:p>
        </w:tc>
      </w:tr>
      <w:tr w:rsidR="001A255A">
        <w:trPr>
          <w:trHeight w:val="188"/>
        </w:trPr>
        <w:tc>
          <w:tcPr>
            <w:tcW w:w="5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H</w:t>
            </w:r>
          </w:p>
        </w:tc>
        <w:tc>
          <w:tcPr>
            <w:tcW w:w="658" w:type="dxa"/>
            <w:tcBorders>
              <w:top w:val="doub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49.32</w:t>
            </w:r>
          </w:p>
        </w:tc>
        <w:tc>
          <w:tcPr>
            <w:tcW w:w="7464" w:type="dxa"/>
            <w:tcBorders>
              <w:top w:val="doub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Taksi prevoz</w:t>
            </w:r>
          </w:p>
        </w:tc>
      </w:tr>
      <w:tr w:rsidR="001A255A">
        <w:trPr>
          <w:trHeight w:val="189"/>
        </w:trPr>
        <w:tc>
          <w:tcPr>
            <w:tcW w:w="5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K</w:t>
            </w:r>
          </w:p>
        </w:tc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double" w:sz="9" w:space="0" w:color="000000"/>
              <w:right w:val="nil"/>
            </w:tcBorders>
          </w:tcPr>
          <w:p w:rsidR="001A255A" w:rsidRDefault="001A255A"/>
        </w:tc>
        <w:tc>
          <w:tcPr>
            <w:tcW w:w="7464" w:type="dxa"/>
            <w:tcBorders>
              <w:top w:val="single" w:sz="9" w:space="0" w:color="000000"/>
              <w:left w:val="nil"/>
              <w:bottom w:val="double" w:sz="9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1814"/>
            </w:pPr>
            <w:r>
              <w:rPr>
                <w:rFonts w:ascii="Arial" w:eastAsia="Arial" w:hAnsi="Arial" w:cs="Arial"/>
                <w:b/>
                <w:sz w:val="12"/>
              </w:rPr>
              <w:t>FINANSIJSKE DELATNOSTI I DELATNOSTI OSIGURANJA</w:t>
            </w:r>
          </w:p>
        </w:tc>
      </w:tr>
      <w:tr w:rsidR="001A255A">
        <w:trPr>
          <w:trHeight w:val="258"/>
        </w:trPr>
        <w:tc>
          <w:tcPr>
            <w:tcW w:w="575" w:type="dxa"/>
            <w:tcBorders>
              <w:top w:val="single" w:sz="9" w:space="0" w:color="000000"/>
              <w:left w:val="single" w:sz="9" w:space="0" w:color="000000"/>
              <w:bottom w:val="single" w:sz="96" w:space="0" w:color="CC99FF"/>
              <w:right w:val="single" w:sz="9" w:space="0" w:color="000000"/>
            </w:tcBorders>
            <w:vAlign w:val="bottom"/>
          </w:tcPr>
          <w:p w:rsidR="001A255A" w:rsidRDefault="00925060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R</w:t>
            </w:r>
          </w:p>
        </w:tc>
        <w:tc>
          <w:tcPr>
            <w:tcW w:w="658" w:type="dxa"/>
            <w:tcBorders>
              <w:top w:val="doub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66.12</w:t>
            </w:r>
          </w:p>
        </w:tc>
        <w:tc>
          <w:tcPr>
            <w:tcW w:w="7464" w:type="dxa"/>
            <w:tcBorders>
              <w:top w:val="doub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364" w:right="2414" w:hanging="2362"/>
            </w:pPr>
            <w:r>
              <w:rPr>
                <w:rFonts w:ascii="Arial" w:eastAsia="Arial" w:hAnsi="Arial" w:cs="Arial"/>
                <w:sz w:val="12"/>
              </w:rPr>
              <w:t xml:space="preserve">Brokerski poslovi s hartijama od vrednosti i berzanskom robom, usluge menjačnica </w:t>
            </w:r>
            <w:r>
              <w:rPr>
                <w:rFonts w:ascii="Arial" w:eastAsia="Arial" w:hAnsi="Arial" w:cs="Arial"/>
                <w:b/>
                <w:sz w:val="12"/>
              </w:rPr>
              <w:t>UMETNOST; ZABAVA I REKREACIJA</w:t>
            </w:r>
          </w:p>
        </w:tc>
      </w:tr>
      <w:tr w:rsidR="001A255A">
        <w:trPr>
          <w:trHeight w:val="258"/>
        </w:trPr>
        <w:tc>
          <w:tcPr>
            <w:tcW w:w="575" w:type="dxa"/>
            <w:tcBorders>
              <w:top w:val="single" w:sz="96" w:space="0" w:color="CC99FF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255A" w:rsidRDefault="001A255A"/>
        </w:tc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double" w:sz="9" w:space="0" w:color="000000"/>
              <w:right w:val="nil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92.00</w:t>
            </w:r>
          </w:p>
        </w:tc>
        <w:tc>
          <w:tcPr>
            <w:tcW w:w="7464" w:type="dxa"/>
            <w:tcBorders>
              <w:top w:val="single" w:sz="9" w:space="0" w:color="000000"/>
              <w:left w:val="nil"/>
              <w:bottom w:val="double" w:sz="9" w:space="0" w:color="000000"/>
              <w:right w:val="single" w:sz="9" w:space="0" w:color="000000"/>
            </w:tcBorders>
          </w:tcPr>
          <w:p w:rsidR="001A255A" w:rsidRDefault="00925060">
            <w:pPr>
              <w:spacing w:after="6"/>
              <w:ind w:left="2"/>
            </w:pPr>
            <w:r>
              <w:rPr>
                <w:rFonts w:ascii="Arial" w:eastAsia="Arial" w:hAnsi="Arial" w:cs="Arial"/>
                <w:sz w:val="12"/>
              </w:rPr>
              <w:t>Kockanje i klađenje</w:t>
            </w:r>
          </w:p>
          <w:p w:rsidR="001A255A" w:rsidRDefault="00925060">
            <w:pPr>
              <w:spacing w:after="0"/>
              <w:ind w:right="552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OSTALE USLUŽNE DELATNOSTI</w:t>
            </w:r>
          </w:p>
        </w:tc>
      </w:tr>
      <w:tr w:rsidR="001A255A">
        <w:trPr>
          <w:trHeight w:val="188"/>
        </w:trPr>
        <w:tc>
          <w:tcPr>
            <w:tcW w:w="5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107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S</w:t>
            </w:r>
          </w:p>
        </w:tc>
        <w:tc>
          <w:tcPr>
            <w:tcW w:w="658" w:type="dxa"/>
            <w:tcBorders>
              <w:top w:val="doub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1A255A" w:rsidRDefault="00925060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2"/>
              </w:rPr>
              <w:t>96.09</w:t>
            </w:r>
          </w:p>
        </w:tc>
        <w:tc>
          <w:tcPr>
            <w:tcW w:w="7464" w:type="dxa"/>
            <w:tcBorders>
              <w:top w:val="doub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1A255A" w:rsidRDefault="0092506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>Nepomenute uslužne aktivnosti</w:t>
            </w:r>
          </w:p>
        </w:tc>
      </w:tr>
      <w:tr w:rsidR="001A255A">
        <w:trPr>
          <w:trHeight w:val="248"/>
        </w:trPr>
        <w:tc>
          <w:tcPr>
            <w:tcW w:w="1233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A255A" w:rsidRDefault="001A255A"/>
        </w:tc>
        <w:tc>
          <w:tcPr>
            <w:tcW w:w="7464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1A255A" w:rsidRDefault="001A255A"/>
        </w:tc>
      </w:tr>
    </w:tbl>
    <w:p w:rsidR="00925060" w:rsidRDefault="00925060"/>
    <w:sectPr w:rsidR="0092506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5A"/>
    <w:rsid w:val="001A255A"/>
    <w:rsid w:val="00392F50"/>
    <w:rsid w:val="0092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540B4-5A05-4146-929C-82E30EA5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SanjaM</dc:creator>
  <cp:keywords/>
  <cp:lastModifiedBy>Vladan Šekularac</cp:lastModifiedBy>
  <cp:revision>3</cp:revision>
  <dcterms:created xsi:type="dcterms:W3CDTF">2019-05-08T09:19:00Z</dcterms:created>
  <dcterms:modified xsi:type="dcterms:W3CDTF">2019-05-08T09:19:00Z</dcterms:modified>
</cp:coreProperties>
</file>