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F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24E">
        <w:rPr>
          <w:rFonts w:ascii="Times New Roman" w:eastAsia="Times New Roman" w:hAnsi="Times New Roman" w:cs="Times New Roman"/>
          <w:b/>
          <w:sz w:val="24"/>
          <w:szCs w:val="24"/>
        </w:rPr>
        <w:t>ЗАШТИТА ЖИВОТНЕ СРЕДИНЕ У ИНДУСТРИЈСКИМ ОБЈЕКТИМА</w:t>
      </w:r>
    </w:p>
    <w:p w:rsidR="00F3024E" w:rsidRPr="00F3024E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E71" w:rsidRPr="002F4BB0" w:rsidRDefault="00446E71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Контролна листа: ЗАШТИТА ВАЗДУХА КОД </w:t>
      </w:r>
      <w:r w:rsidR="00EC4C79">
        <w:rPr>
          <w:rFonts w:ascii="Times New Roman" w:eastAsia="Times New Roman" w:hAnsi="Times New Roman" w:cs="Times New Roman"/>
          <w:b/>
          <w:sz w:val="24"/>
          <w:szCs w:val="24"/>
        </w:rPr>
        <w:t>ТЕХНОЛОШКИХ ПОСТРОЈЕЊА</w:t>
      </w:r>
      <w:r w:rsidR="009A3F6E">
        <w:rPr>
          <w:rFonts w:ascii="Times New Roman" w:eastAsia="Times New Roman" w:hAnsi="Times New Roman" w:cs="Times New Roman"/>
          <w:b/>
          <w:sz w:val="24"/>
          <w:szCs w:val="24"/>
        </w:rPr>
        <w:t xml:space="preserve"> СА</w:t>
      </w:r>
      <w:r w:rsidR="00402575">
        <w:rPr>
          <w:rFonts w:ascii="Times New Roman" w:eastAsia="Times New Roman" w:hAnsi="Times New Roman" w:cs="Times New Roman"/>
          <w:b/>
          <w:sz w:val="24"/>
          <w:szCs w:val="24"/>
        </w:rPr>
        <w:t>КОНТИНУАЛН</w:t>
      </w:r>
      <w:r w:rsidR="009A3F6E">
        <w:rPr>
          <w:rFonts w:ascii="Times New Roman" w:eastAsia="Times New Roman" w:hAnsi="Times New Roman" w:cs="Times New Roman"/>
          <w:b/>
          <w:sz w:val="24"/>
          <w:szCs w:val="24"/>
        </w:rPr>
        <w:t>ИМ МЕРЕЊЕМ</w:t>
      </w:r>
    </w:p>
    <w:p w:rsidR="005367FA" w:rsidRPr="005367FA" w:rsidRDefault="005367FA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7FA">
        <w:rPr>
          <w:rFonts w:ascii="Times New Roman" w:eastAsia="Times New Roman" w:hAnsi="Times New Roman" w:cs="Times New Roman"/>
          <w:sz w:val="24"/>
          <w:szCs w:val="24"/>
        </w:rPr>
        <w:t>Обавезе из Закона о заштити ваздуха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67FA">
        <w:rPr>
          <w:rFonts w:ascii="Times New Roman" w:eastAsia="Times New Roman" w:hAnsi="Times New Roman" w:cs="Times New Roman"/>
          <w:sz w:val="24"/>
          <w:szCs w:val="24"/>
        </w:rPr>
        <w:t xml:space="preserve"> за постројења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која не спадају у постројења за сагоревање а на којима се врши </w:t>
      </w:r>
      <w:r w:rsidRPr="005367FA">
        <w:rPr>
          <w:rFonts w:ascii="Times New Roman" w:eastAsia="Times New Roman" w:hAnsi="Times New Roman" w:cs="Times New Roman"/>
          <w:sz w:val="24"/>
          <w:szCs w:val="24"/>
        </w:rPr>
        <w:t>континуа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367FA">
        <w:rPr>
          <w:rFonts w:ascii="Times New Roman" w:eastAsia="Times New Roman" w:hAnsi="Times New Roman" w:cs="Times New Roman"/>
          <w:sz w:val="24"/>
          <w:szCs w:val="24"/>
        </w:rPr>
        <w:t>но мерење емисије</w:t>
      </w:r>
      <w:r w:rsidR="00870285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дозвол</w:t>
      </w:r>
      <w:r w:rsidR="00870285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министарства</w:t>
      </w:r>
    </w:p>
    <w:p w:rsidR="00446E71" w:rsidRPr="002F4BB0" w:rsidRDefault="00446E71" w:rsidP="00F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45F7B" w:rsidRPr="001A78E6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BB0">
        <w:rPr>
          <w:rFonts w:ascii="Times New Roman" w:hAnsi="Times New Roman" w:cs="Times New Roman"/>
          <w:sz w:val="24"/>
          <w:szCs w:val="24"/>
        </w:rPr>
        <w:t>Табела А</w:t>
      </w:r>
      <w:r>
        <w:rPr>
          <w:rFonts w:ascii="Times New Roman" w:hAnsi="Times New Roman" w:cs="Times New Roman"/>
          <w:sz w:val="24"/>
          <w:szCs w:val="24"/>
        </w:rPr>
        <w:t>: Општи подаци</w:t>
      </w:r>
    </w:p>
    <w:tbl>
      <w:tblPr>
        <w:tblStyle w:val="TableGrid"/>
        <w:tblW w:w="10710" w:type="dxa"/>
        <w:jc w:val="center"/>
        <w:tblLook w:val="04A0"/>
      </w:tblPr>
      <w:tblGrid>
        <w:gridCol w:w="5202"/>
        <w:gridCol w:w="5508"/>
      </w:tblGrid>
      <w:tr w:rsidR="00446E71" w:rsidRPr="002F4BB0" w:rsidTr="00FA315F">
        <w:trPr>
          <w:jc w:val="center"/>
        </w:trPr>
        <w:tc>
          <w:tcPr>
            <w:tcW w:w="10710" w:type="dxa"/>
            <w:gridSpan w:val="2"/>
          </w:tcPr>
          <w:p w:rsidR="00446E71" w:rsidRPr="002F4BB0" w:rsidRDefault="00446E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Подаци о оперaтеру</w:t>
            </w: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>Назив оператера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</w:rPr>
              <w:t>пштина и место седишта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CC69D5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>Име особе за контакт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F3024E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и електронска адреса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контакт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7B" w:rsidRPr="002F4BB0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>Назив постројења / ознака димњака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7B" w:rsidRPr="002F4BB0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Општинаи место постројења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71" w:rsidRPr="007B08C7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5F7B" w:rsidRPr="002F4BB0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BB0">
        <w:rPr>
          <w:rFonts w:ascii="Times New Roman" w:hAnsi="Times New Roman" w:cs="Times New Roman"/>
          <w:sz w:val="24"/>
          <w:szCs w:val="24"/>
        </w:rPr>
        <w:t>Табела 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</w:rPr>
        <w:t>Статус правног лица, предузетника</w:t>
      </w:r>
    </w:p>
    <w:tbl>
      <w:tblPr>
        <w:tblStyle w:val="TableGrid"/>
        <w:tblW w:w="10710" w:type="dxa"/>
        <w:jc w:val="center"/>
        <w:tblLook w:val="04A0"/>
      </w:tblPr>
      <w:tblGrid>
        <w:gridCol w:w="8370"/>
        <w:gridCol w:w="2340"/>
      </w:tblGrid>
      <w:tr w:rsidR="00446E71" w:rsidRPr="002F4BB0" w:rsidTr="00FA315F">
        <w:trPr>
          <w:jc w:val="center"/>
        </w:trPr>
        <w:tc>
          <w:tcPr>
            <w:tcW w:w="10710" w:type="dxa"/>
            <w:gridSpan w:val="2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правног лица, предузетника</w:t>
            </w:r>
          </w:p>
        </w:tc>
      </w:tr>
      <w:tr w:rsidR="007B5071" w:rsidRPr="002F4BB0" w:rsidTr="00E4574C">
        <w:trPr>
          <w:jc w:val="center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071" w:rsidRPr="00F428C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071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49526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B5071" w:rsidRPr="002F4BB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637520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:rsidTr="00FA315F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:rsidR="00446E71" w:rsidRPr="002F4BB0" w:rsidRDefault="00CC69D5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12EE3" w:rsidRPr="0051033C">
              <w:rPr>
                <w:rFonts w:ascii="Times New Roman" w:hAnsi="Times New Roman" w:cs="Times New Roman"/>
                <w:b/>
                <w:sz w:val="24"/>
                <w:szCs w:val="24"/>
              </w:rPr>
              <w:t>Када је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одговор „НЕ“,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</w:rPr>
              <w:t>равно лице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предузетник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сматра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</w:rPr>
              <w:t>ју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5F7B" w:rsidRPr="00045F7B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BB0">
        <w:rPr>
          <w:rFonts w:ascii="Times New Roman" w:hAnsi="Times New Roman" w:cs="Times New Roman"/>
          <w:sz w:val="24"/>
          <w:szCs w:val="24"/>
        </w:rPr>
        <w:t>Табела В</w:t>
      </w:r>
      <w:r>
        <w:rPr>
          <w:rFonts w:ascii="Times New Roman" w:hAnsi="Times New Roman" w:cs="Times New Roman"/>
          <w:sz w:val="24"/>
          <w:szCs w:val="24"/>
        </w:rPr>
        <w:t>: Законске обавезе **</w:t>
      </w:r>
    </w:p>
    <w:tbl>
      <w:tblPr>
        <w:tblStyle w:val="TableGrid"/>
        <w:tblW w:w="10800" w:type="dxa"/>
        <w:tblInd w:w="-719" w:type="dxa"/>
        <w:tblLook w:val="04A0"/>
      </w:tblPr>
      <w:tblGrid>
        <w:gridCol w:w="517"/>
        <w:gridCol w:w="7823"/>
        <w:gridCol w:w="2460"/>
      </w:tblGrid>
      <w:tr w:rsidR="008147BB" w:rsidRPr="00F3024E" w:rsidTr="00F3024E">
        <w:trPr>
          <w:cantSplit/>
        </w:trPr>
        <w:tc>
          <w:tcPr>
            <w:tcW w:w="10800" w:type="dxa"/>
            <w:gridSpan w:val="3"/>
          </w:tcPr>
          <w:p w:rsidR="008147BB" w:rsidRDefault="000158AC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147BB" w:rsidRPr="000548AD">
              <w:rPr>
                <w:rFonts w:ascii="Times New Roman" w:hAnsi="Times New Roman" w:cs="Times New Roman"/>
                <w:bCs/>
                <w:sz w:val="24"/>
                <w:szCs w:val="24"/>
              </w:rPr>
              <w:t>) Континуално мерење емисије (испуштања)</w:t>
            </w:r>
          </w:p>
        </w:tc>
      </w:tr>
      <w:tr w:rsidR="00875E2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271F0" w:rsidRPr="00212EE3" w:rsidRDefault="00A271F0" w:rsidP="00F3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2EE3">
              <w:rPr>
                <w:rFonts w:ascii="Times New Roman" w:eastAsia="Calibri" w:hAnsi="Times New Roman" w:cs="Times New Roman"/>
                <w:sz w:val="24"/>
                <w:szCs w:val="24"/>
              </w:rPr>
              <w:t>Да ли је прибављена сагласност министарства за континуална мерења емисије</w:t>
            </w:r>
            <w:r w:rsidR="000605A6" w:rsidRPr="00212EE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све загађујуће материје </w:t>
            </w:r>
            <w:r w:rsidRPr="00212EE3">
              <w:rPr>
                <w:rFonts w:ascii="Times New Roman" w:hAnsi="Times New Roman" w:cs="Times New Roman"/>
                <w:sz w:val="24"/>
                <w:szCs w:val="24"/>
              </w:rPr>
              <w:t>за које је прописано</w:t>
            </w:r>
          </w:p>
          <w:p w:rsidR="00C00C4F" w:rsidRPr="00FA315F" w:rsidRDefault="00C00C4F" w:rsidP="0037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5A">
              <w:rPr>
                <w:rFonts w:ascii="Times New Roman" w:hAnsi="Times New Roman" w:cs="Times New Roman"/>
                <w:i/>
                <w:sz w:val="24"/>
                <w:szCs w:val="24"/>
              </w:rPr>
              <w:t>(Обавеза постоји када су прекорачени прописани масени протоци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)(</w:t>
            </w:r>
            <w:r w:rsidR="00EE0792" w:rsidRPr="00EE0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Изузеци од извршења обавезе </w:t>
            </w:r>
            <w:r w:rsidR="00EE0792" w:rsidRPr="00371337">
              <w:rPr>
                <w:rFonts w:ascii="Times New Roman" w:hAnsi="Times New Roman" w:cs="Times New Roman"/>
                <w:i/>
                <w:sz w:val="24"/>
                <w:szCs w:val="24"/>
              </w:rPr>
              <w:t>су када</w:t>
            </w:r>
            <w:r w:rsidRPr="0037133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календарској години постројење ради мање од 500 часова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189466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40082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147BB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16025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75E2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47BB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 ли је овлашћено лице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аутоматских мерних уређаја (AST)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 xml:space="preserve"> парамет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из прилога 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06869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54977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147BB" w:rsidRPr="00FA315F" w:rsidRDefault="00DC51B8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593198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 складу </w:t>
            </w:r>
            <w:r w:rsidRPr="006679B5">
              <w:rPr>
                <w:rFonts w:ascii="Times New Roman" w:eastAsia="TimesNewRoman" w:hAnsi="Times New Roman" w:cs="Times New Roman"/>
                <w:sz w:val="24"/>
                <w:szCs w:val="24"/>
              </w:rPr>
              <w:t>са процедуром обезбеђења поверења нивоа 2 („QAL 2”)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езагађујуће материје и за све 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</w:rPr>
              <w:t>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770376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875247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467857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70816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 ли је калибрација 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„QAL 2” процедуром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извршена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 опсегу различитих оптерећења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постројења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 других услова рада 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</w:rPr>
              <w:t>пост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</w:rPr>
              <w:t>ројења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3893903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3338584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849652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29727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865811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33526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 ли су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унете калибрационе криве</w:t>
            </w: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после испитивања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поступком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460434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64592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033900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аутоматског мерног система, у складу са QAL</w:t>
            </w:r>
            <w:r w:rsidRPr="00F3024E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поступком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89253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5332499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311458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загађујуће материје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 </w:t>
            </w:r>
            <w:r w:rsidR="00D67D90" w:rsidRPr="00157A9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сви аутоматски уређаји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</w:rPr>
              <w:t>за парaметре стања отпадног гаса (температура,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60246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6257500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5939993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</w:rPr>
              <w:t>Да ли постоји дневни, месечни и годишњи извештај о мерењу са следећим резултатима: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1)годишњи просек средњих дневних вредности, 2) получасовне средње вредности и проценат који прекорачује 120 одсто ГВЕ, 3) број получасовних средњих вредности који прекорачује 200 одсто ГВЕ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201105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60798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43703943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0548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AB00E6">
              <w:rPr>
                <w:rFonts w:ascii="Times New Roman" w:eastAsia="Calibri" w:hAnsi="Times New Roman" w:cs="Times New Roman"/>
                <w:sz w:val="24"/>
                <w:szCs w:val="24"/>
              </w:rPr>
              <w:t>Усклађеност са граничним вредностима емисије (ГВЕ)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314722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B1D9F" w:rsidRDefault="00ED7200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ли су у извештајима</w:t>
            </w:r>
            <w:r w:rsidR="00C00C4F" w:rsidRPr="00510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5952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269777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 резултатима из извештаја о континуалном мерењу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74873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0850902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В) Рад уређаја за смањивање емисије (испуштања)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297882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259980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оператер у случају 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</w:rPr>
              <w:t>поремећаја технолошког процеса или квара уређаја за смањ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ивање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емисије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одмах отклонио квар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поремећај,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прилагодио рад насталој околности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обуставио рад постројења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 би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емисиј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дозвољене вредности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116597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318633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147EA5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47EA5">
              <w:rPr>
                <w:rFonts w:ascii="Times New Roman" w:eastAsia="TimesNewRoman" w:hAnsi="Times New Roman" w:cs="Times New Roman"/>
                <w:sz w:val="24"/>
                <w:szCs w:val="24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:rsidR="00C00C4F" w:rsidRPr="00147EA5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(Обавеза постоји за масени проток од 1 до 3 kg/h)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147EA5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5762612"/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147EA5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9194332"/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787A46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011403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szCs w:val="24"/>
              </w:rPr>
              <w:t>) Достава података државним органима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4A347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ли јеАгенцији,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односно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јединици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</w:rPr>
              <w:t>локалн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самоуправ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 31.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достављен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 о годишњем билансу емисија (односно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бразац број 2-Емисије у ваздух), </w:t>
            </w:r>
            <w:r w:rsidR="005F4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који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попуњен за све испусте отпадних гасова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360890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036138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627286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314722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2E">
              <w:rPr>
                <w:rFonts w:ascii="Times New Roman" w:eastAsia="Calibri" w:hAnsi="Times New Roman" w:cs="Times New Roman"/>
                <w:sz w:val="24"/>
                <w:szCs w:val="24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нтинуалних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626024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487528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5853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7B6DF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</w:rPr>
              <w:t>Да ли је оператер достав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надлежном органу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</w:rPr>
              <w:t>покрајина или Агенција) све месечне и годишњи извештај аутоматског мерног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</w:rPr>
              <w:t>тромесечно а годишњи до 31. јануара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9399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264484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10531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24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306AD">
              <w:rPr>
                <w:rFonts w:ascii="Times New Roman" w:hAnsi="Times New Roman" w:cs="Times New Roman"/>
                <w:sz w:val="24"/>
                <w:szCs w:val="24"/>
              </w:rPr>
              <w:t>Нова и реконструисана постројења после 23.05.2009.године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постројења које је изграђено или реконструисано после 23.05.2009.године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378265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9977525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370807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B22F24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B1D9F" w:rsidRDefault="004C3399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17306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18367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862827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E6032D" w:rsidRDefault="00E6032D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4F8" w:rsidRPr="001E14F8" w:rsidRDefault="001E14F8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50702">
        <w:rPr>
          <w:rFonts w:ascii="Times New Roman" w:hAnsi="Times New Roman" w:cs="Times New Roman"/>
          <w:sz w:val="24"/>
          <w:szCs w:val="24"/>
        </w:rPr>
        <w:t>Не примењују се г</w:t>
      </w:r>
      <w:r w:rsidR="003B1AFE">
        <w:rPr>
          <w:rFonts w:ascii="Times New Roman" w:hAnsi="Times New Roman" w:cs="Times New Roman"/>
          <w:sz w:val="24"/>
          <w:szCs w:val="24"/>
        </w:rPr>
        <w:t xml:space="preserve">раничне вредности емисије и масени протоци за </w:t>
      </w:r>
      <w:r w:rsidR="00EF1387">
        <w:rPr>
          <w:rFonts w:ascii="Times New Roman" w:hAnsi="Times New Roman" w:cs="Times New Roman"/>
          <w:sz w:val="24"/>
          <w:szCs w:val="24"/>
        </w:rPr>
        <w:t xml:space="preserve">које се врше </w:t>
      </w:r>
      <w:r w:rsidR="003B1AFE">
        <w:rPr>
          <w:rFonts w:ascii="Times New Roman" w:hAnsi="Times New Roman" w:cs="Times New Roman"/>
          <w:sz w:val="24"/>
          <w:szCs w:val="24"/>
        </w:rPr>
        <w:t xml:space="preserve">континуална мерења емисије из </w:t>
      </w:r>
      <w:r w:rsidR="003B1AFE" w:rsidRPr="00277B4C">
        <w:rPr>
          <w:rFonts w:ascii="Times New Roman" w:eastAsia="Calibri" w:hAnsi="Times New Roman" w:cs="Times New Roman"/>
          <w:sz w:val="24"/>
          <w:szCs w:val="24"/>
        </w:rPr>
        <w:t>Уредб</w:t>
      </w:r>
      <w:r w:rsidR="003B1AFE">
        <w:rPr>
          <w:rFonts w:ascii="Times New Roman" w:eastAsia="Calibri" w:hAnsi="Times New Roman" w:cs="Times New Roman"/>
          <w:sz w:val="24"/>
          <w:szCs w:val="24"/>
        </w:rPr>
        <w:t>е</w:t>
      </w:r>
      <w:r w:rsidR="003B1AFE" w:rsidRPr="00277B4C">
        <w:rPr>
          <w:rFonts w:ascii="Times New Roman" w:eastAsia="Calibri" w:hAnsi="Times New Roman" w:cs="Times New Roman"/>
          <w:sz w:val="24"/>
          <w:szCs w:val="24"/>
        </w:rPr>
        <w:t xml:space="preserve"> о граничним вредностима емисија загађујућих материја у ваздух из стационарних извора загађивања, осим постројења за сагоре</w:t>
      </w:r>
      <w:r w:rsidR="003B1AFE">
        <w:rPr>
          <w:rFonts w:ascii="Times New Roman" w:eastAsia="Calibri" w:hAnsi="Times New Roman" w:cs="Times New Roman"/>
          <w:sz w:val="24"/>
          <w:szCs w:val="24"/>
        </w:rPr>
        <w:t>вање</w:t>
      </w:r>
      <w:r w:rsidR="00D24160">
        <w:rPr>
          <w:rFonts w:ascii="Times New Roman" w:eastAsia="Calibri" w:hAnsi="Times New Roman" w:cs="Times New Roman"/>
          <w:sz w:val="24"/>
          <w:szCs w:val="24"/>
        </w:rPr>
        <w:t>,на</w:t>
      </w:r>
      <w:r w:rsidRPr="001E14F8">
        <w:rPr>
          <w:rFonts w:ascii="Times New Roman" w:hAnsi="Times New Roman" w:cs="Times New Roman"/>
          <w:sz w:val="24"/>
          <w:szCs w:val="24"/>
        </w:rPr>
        <w:t>:</w:t>
      </w:r>
    </w:p>
    <w:p w:rsidR="00DE32EA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E14F8" w:rsidRPr="004717CD">
        <w:rPr>
          <w:rFonts w:ascii="Times New Roman" w:hAnsi="Times New Roman" w:cs="Times New Roman"/>
          <w:sz w:val="24"/>
          <w:szCs w:val="24"/>
        </w:rPr>
        <w:t xml:space="preserve">Поступке термичког третмана отпада и </w:t>
      </w:r>
    </w:p>
    <w:p w:rsidR="001E14F8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14F8" w:rsidRPr="004717CD">
        <w:rPr>
          <w:rFonts w:ascii="Times New Roman" w:hAnsi="Times New Roman" w:cs="Times New Roman"/>
          <w:sz w:val="24"/>
          <w:szCs w:val="24"/>
        </w:rPr>
        <w:t xml:space="preserve">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</w:t>
      </w:r>
      <w:r w:rsidR="003B1AFE" w:rsidRPr="004717CD">
        <w:rPr>
          <w:rFonts w:ascii="Times New Roman" w:hAnsi="Times New Roman" w:cs="Times New Roman"/>
          <w:sz w:val="24"/>
          <w:szCs w:val="24"/>
        </w:rPr>
        <w:t>и</w:t>
      </w:r>
      <w:r w:rsidR="001E14F8" w:rsidRPr="004717CD">
        <w:rPr>
          <w:rFonts w:ascii="Times New Roman" w:hAnsi="Times New Roman" w:cs="Times New Roman"/>
          <w:sz w:val="24"/>
          <w:szCs w:val="24"/>
        </w:rPr>
        <w:t xml:space="preserve">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:rsidR="008147BB" w:rsidRPr="004717CD" w:rsidRDefault="008147BB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3" w:type="dxa"/>
        <w:tblInd w:w="-635" w:type="dxa"/>
        <w:tblLook w:val="04A0"/>
      </w:tblPr>
      <w:tblGrid>
        <w:gridCol w:w="3637"/>
        <w:gridCol w:w="3638"/>
        <w:gridCol w:w="3638"/>
      </w:tblGrid>
      <w:tr w:rsidR="002F4BB0" w:rsidRPr="00F3024E" w:rsidTr="00B8386C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B7A59">
              <w:rPr>
                <w:rFonts w:ascii="Times New Roman" w:hAnsi="Times New Roman" w:cs="Times New Roman"/>
                <w:sz w:val="24"/>
                <w:szCs w:val="24"/>
              </w:rPr>
              <w:t>редставници</w:t>
            </w:r>
            <w:r w:rsidR="00B83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оператера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3024E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9B7A59" w:rsidTr="00B8386C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F4BB0" w:rsidRPr="009B7A59" w:rsidTr="00B8386C">
        <w:trPr>
          <w:trHeight w:val="28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7B08C7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2F4BB0" w:rsidRPr="009B7A59" w:rsidTr="00B8386C">
        <w:trPr>
          <w:trHeight w:val="3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F4BB0" w:rsidRPr="009B7A59" w:rsidTr="00B8386C">
        <w:trPr>
          <w:trHeight w:val="22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F4BB0" w:rsidRPr="009B7A59" w:rsidTr="00A47E26"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D35A14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D35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F3024E" w:rsidTr="00B0057D">
        <w:trPr>
          <w:trHeight w:val="386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30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7B08C7" w:rsidRDefault="003B4215" w:rsidP="00F3024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3B4215" w:rsidRPr="007B08C7" w:rsidSect="00954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39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F2" w:rsidRDefault="001801F2" w:rsidP="002F4BB0">
      <w:pPr>
        <w:spacing w:after="0" w:line="240" w:lineRule="auto"/>
      </w:pPr>
      <w:r>
        <w:separator/>
      </w:r>
    </w:p>
  </w:endnote>
  <w:endnote w:type="continuationSeparator" w:id="1">
    <w:p w:rsidR="001801F2" w:rsidRDefault="001801F2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94" w:rsidRDefault="00157A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9329E7" w:rsidRDefault="009F42D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4BB0" w:rsidRPr="00932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2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35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32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717CD">
          <w:rPr>
            <w:rFonts w:ascii="Times New Roman" w:hAnsi="Times New Roman" w:cs="Times New Roman"/>
            <w:noProof/>
            <w:sz w:val="24"/>
            <w:szCs w:val="24"/>
          </w:rPr>
          <w:t>/3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94" w:rsidRDefault="00157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F2" w:rsidRDefault="001801F2" w:rsidP="002F4BB0">
      <w:pPr>
        <w:spacing w:after="0" w:line="240" w:lineRule="auto"/>
      </w:pPr>
      <w:r>
        <w:separator/>
      </w:r>
    </w:p>
  </w:footnote>
  <w:footnote w:type="continuationSeparator" w:id="1">
    <w:p w:rsidR="001801F2" w:rsidRDefault="001801F2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94" w:rsidRDefault="00157A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52" w:rsidRDefault="00912A52">
    <w:pPr>
      <w:pStyle w:val="Header"/>
    </w:pPr>
  </w:p>
  <w:tbl>
    <w:tblPr>
      <w:tblW w:w="11177" w:type="dxa"/>
      <w:tblInd w:w="-612" w:type="dxa"/>
      <w:tblLook w:val="04A0"/>
    </w:tblPr>
    <w:tblGrid>
      <w:gridCol w:w="1051"/>
      <w:gridCol w:w="7164"/>
      <w:gridCol w:w="2962"/>
    </w:tblGrid>
    <w:tr w:rsidR="002F03C8" w:rsidRPr="00A046D4" w:rsidTr="00096359">
      <w:trPr>
        <w:trHeight w:val="1228"/>
      </w:trPr>
      <w:tc>
        <w:tcPr>
          <w:tcW w:w="1051" w:type="dxa"/>
          <w:shd w:val="clear" w:color="auto" w:fill="auto"/>
        </w:tcPr>
        <w:p w:rsidR="002F03C8" w:rsidRPr="00A046D4" w:rsidRDefault="002F03C8" w:rsidP="00A046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A046D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3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4" w:type="dxa"/>
          <w:shd w:val="clear" w:color="auto" w:fill="auto"/>
          <w:vAlign w:val="center"/>
        </w:tcPr>
        <w:p w:rsidR="002F03C8" w:rsidRPr="00C71ED2" w:rsidRDefault="002F03C8" w:rsidP="008642E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sr-Cyrl-CS"/>
            </w:rPr>
          </w:pPr>
          <w:r w:rsidRPr="00C71ED2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C71ED2">
            <w:rPr>
              <w:rFonts w:ascii="Times New Roman" w:eastAsia="Times New Roman" w:hAnsi="Times New Roman" w:cs="Times New Roman"/>
              <w:sz w:val="24"/>
              <w:szCs w:val="24"/>
              <w:lang w:val="sr-Cyrl-CS"/>
            </w:rPr>
            <w:t>РЕПУБЛИКА СРБИЈА</w:t>
          </w:r>
        </w:p>
        <w:p w:rsidR="002F03C8" w:rsidRPr="00C71ED2" w:rsidRDefault="002F03C8" w:rsidP="008642EE">
          <w:pPr>
            <w:jc w:val="both"/>
            <w:rPr>
              <w:rFonts w:ascii="Times New Roman" w:hAnsi="Times New Roman" w:cs="Times New Roman"/>
              <w:sz w:val="24"/>
              <w:szCs w:val="24"/>
              <w:lang w:val="sr-Cyrl-CS"/>
            </w:rPr>
          </w:pPr>
          <w:r w:rsidRPr="00C71ED2">
            <w:rPr>
              <w:rFonts w:ascii="Times New Roman" w:hAnsi="Times New Roman" w:cs="Times New Roman"/>
              <w:sz w:val="24"/>
              <w:szCs w:val="24"/>
              <w:lang w:val="sr-Cyrl-CS"/>
            </w:rPr>
            <w:t xml:space="preserve">ГРАД КРАЉЕВО </w:t>
          </w:r>
          <w:r w:rsidRPr="00C71ED2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Pr="00C71ED2">
            <w:rPr>
              <w:rFonts w:ascii="Times New Roman" w:hAnsi="Times New Roman" w:cs="Times New Roman"/>
              <w:sz w:val="24"/>
              <w:szCs w:val="24"/>
              <w:lang w:val="sr-Cyrl-CS"/>
            </w:rPr>
            <w:t>ГРАДСКА УПРАВА</w:t>
          </w:r>
        </w:p>
        <w:p w:rsidR="002F03C8" w:rsidRPr="00C71ED2" w:rsidRDefault="002F03C8" w:rsidP="008642E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71ED2">
            <w:rPr>
              <w:rFonts w:ascii="Times New Roman" w:hAnsi="Times New Roman" w:cs="Times New Roman"/>
              <w:sz w:val="24"/>
              <w:szCs w:val="24"/>
              <w:lang w:val="sr-Cyrl-CS"/>
            </w:rPr>
            <w:t>Одељење за инспекцијске послове</w:t>
          </w:r>
        </w:p>
        <w:p w:rsidR="002F03C8" w:rsidRPr="00C71ED2" w:rsidRDefault="002F03C8" w:rsidP="008642EE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C71ED2">
            <w:rPr>
              <w:rFonts w:ascii="Times New Roman" w:hAnsi="Times New Roman" w:cs="Times New Roman"/>
              <w:sz w:val="24"/>
              <w:szCs w:val="24"/>
            </w:rPr>
            <w:t>Одсек за заштиту животне средине и</w:t>
          </w:r>
        </w:p>
        <w:p w:rsidR="002F03C8" w:rsidRPr="00C71ED2" w:rsidRDefault="002F03C8" w:rsidP="008642E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71ED2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инспекције за заштиту животне средине</w:t>
          </w:r>
        </w:p>
      </w:tc>
      <w:tc>
        <w:tcPr>
          <w:tcW w:w="2962" w:type="dxa"/>
          <w:shd w:val="clear" w:color="auto" w:fill="auto"/>
          <w:vAlign w:val="center"/>
        </w:tcPr>
        <w:p w:rsidR="002F03C8" w:rsidRPr="00C71ED2" w:rsidRDefault="002F03C8" w:rsidP="008642E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71ED2">
            <w:rPr>
              <w:rFonts w:ascii="Times New Roman" w:eastAsia="Times New Roman" w:hAnsi="Times New Roman" w:cs="Times New Roman"/>
              <w:sz w:val="24"/>
              <w:szCs w:val="24"/>
            </w:rPr>
            <w:t>Децембар 2019. године</w:t>
          </w:r>
        </w:p>
        <w:p w:rsidR="002F03C8" w:rsidRPr="00C71ED2" w:rsidRDefault="002F03C8" w:rsidP="008642E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912A52" w:rsidRDefault="00912A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94" w:rsidRDefault="00157A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641"/>
    <w:multiLevelType w:val="hybridMultilevel"/>
    <w:tmpl w:val="0196355C"/>
    <w:lvl w:ilvl="0" w:tplc="E8325FF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46E71"/>
    <w:rsid w:val="00004AAF"/>
    <w:rsid w:val="00006812"/>
    <w:rsid w:val="00007382"/>
    <w:rsid w:val="000158AC"/>
    <w:rsid w:val="0002693C"/>
    <w:rsid w:val="0004078C"/>
    <w:rsid w:val="00043D9A"/>
    <w:rsid w:val="00045F7B"/>
    <w:rsid w:val="000468C0"/>
    <w:rsid w:val="00050D2B"/>
    <w:rsid w:val="000543D0"/>
    <w:rsid w:val="000548AD"/>
    <w:rsid w:val="000605A6"/>
    <w:rsid w:val="000644C2"/>
    <w:rsid w:val="00075D4C"/>
    <w:rsid w:val="00084BB6"/>
    <w:rsid w:val="00091EFD"/>
    <w:rsid w:val="000940A8"/>
    <w:rsid w:val="0009524F"/>
    <w:rsid w:val="00095B9B"/>
    <w:rsid w:val="00096359"/>
    <w:rsid w:val="000A409B"/>
    <w:rsid w:val="000A6E0E"/>
    <w:rsid w:val="000B5014"/>
    <w:rsid w:val="000C6E29"/>
    <w:rsid w:val="000D0380"/>
    <w:rsid w:val="000D0666"/>
    <w:rsid w:val="000D1C99"/>
    <w:rsid w:val="000D22E2"/>
    <w:rsid w:val="000F1D01"/>
    <w:rsid w:val="000F3D84"/>
    <w:rsid w:val="000F6AD6"/>
    <w:rsid w:val="0010311D"/>
    <w:rsid w:val="00103168"/>
    <w:rsid w:val="0010370B"/>
    <w:rsid w:val="00103BED"/>
    <w:rsid w:val="00103D92"/>
    <w:rsid w:val="00112369"/>
    <w:rsid w:val="0011473E"/>
    <w:rsid w:val="00121D8F"/>
    <w:rsid w:val="00123536"/>
    <w:rsid w:val="00126E44"/>
    <w:rsid w:val="001423BC"/>
    <w:rsid w:val="00142D35"/>
    <w:rsid w:val="00143EF9"/>
    <w:rsid w:val="001445B3"/>
    <w:rsid w:val="00145E49"/>
    <w:rsid w:val="00147EA5"/>
    <w:rsid w:val="00154E37"/>
    <w:rsid w:val="00156453"/>
    <w:rsid w:val="00157A94"/>
    <w:rsid w:val="00164820"/>
    <w:rsid w:val="00165BBB"/>
    <w:rsid w:val="001678FA"/>
    <w:rsid w:val="0017007B"/>
    <w:rsid w:val="00170614"/>
    <w:rsid w:val="0017115F"/>
    <w:rsid w:val="0017354F"/>
    <w:rsid w:val="001801F2"/>
    <w:rsid w:val="00184ED2"/>
    <w:rsid w:val="00187A07"/>
    <w:rsid w:val="00194EB3"/>
    <w:rsid w:val="00197985"/>
    <w:rsid w:val="001A0C5B"/>
    <w:rsid w:val="001B1E98"/>
    <w:rsid w:val="001C348A"/>
    <w:rsid w:val="001C460E"/>
    <w:rsid w:val="001C4DB5"/>
    <w:rsid w:val="001C55F8"/>
    <w:rsid w:val="001C7336"/>
    <w:rsid w:val="001D2535"/>
    <w:rsid w:val="001D3D04"/>
    <w:rsid w:val="001E14F8"/>
    <w:rsid w:val="0020147F"/>
    <w:rsid w:val="00202B35"/>
    <w:rsid w:val="00212EE3"/>
    <w:rsid w:val="002179EF"/>
    <w:rsid w:val="0022559F"/>
    <w:rsid w:val="0023235B"/>
    <w:rsid w:val="00232F97"/>
    <w:rsid w:val="00234C0A"/>
    <w:rsid w:val="00252972"/>
    <w:rsid w:val="002608DD"/>
    <w:rsid w:val="00275D38"/>
    <w:rsid w:val="00276327"/>
    <w:rsid w:val="00277B4C"/>
    <w:rsid w:val="00292129"/>
    <w:rsid w:val="002924FC"/>
    <w:rsid w:val="00293081"/>
    <w:rsid w:val="00296BC5"/>
    <w:rsid w:val="00296FFF"/>
    <w:rsid w:val="002A50C5"/>
    <w:rsid w:val="002B0F34"/>
    <w:rsid w:val="002B7150"/>
    <w:rsid w:val="002D41DF"/>
    <w:rsid w:val="002E306A"/>
    <w:rsid w:val="002E629A"/>
    <w:rsid w:val="002F03C8"/>
    <w:rsid w:val="002F0CD6"/>
    <w:rsid w:val="002F4BB0"/>
    <w:rsid w:val="002F4E84"/>
    <w:rsid w:val="00303519"/>
    <w:rsid w:val="00310702"/>
    <w:rsid w:val="0031245E"/>
    <w:rsid w:val="00325149"/>
    <w:rsid w:val="00334972"/>
    <w:rsid w:val="00347E33"/>
    <w:rsid w:val="00350360"/>
    <w:rsid w:val="00353C28"/>
    <w:rsid w:val="00354C56"/>
    <w:rsid w:val="00360B0F"/>
    <w:rsid w:val="003611CC"/>
    <w:rsid w:val="0036284E"/>
    <w:rsid w:val="00363474"/>
    <w:rsid w:val="00371337"/>
    <w:rsid w:val="00373BF4"/>
    <w:rsid w:val="003A2A6E"/>
    <w:rsid w:val="003A3A5F"/>
    <w:rsid w:val="003A7A25"/>
    <w:rsid w:val="003B1AFE"/>
    <w:rsid w:val="003B4215"/>
    <w:rsid w:val="003C0610"/>
    <w:rsid w:val="003C4833"/>
    <w:rsid w:val="003C4900"/>
    <w:rsid w:val="003D0D7E"/>
    <w:rsid w:val="003E34EE"/>
    <w:rsid w:val="00402575"/>
    <w:rsid w:val="00406EA6"/>
    <w:rsid w:val="004306AD"/>
    <w:rsid w:val="00431091"/>
    <w:rsid w:val="00432F3C"/>
    <w:rsid w:val="0043646F"/>
    <w:rsid w:val="00445F16"/>
    <w:rsid w:val="00446E56"/>
    <w:rsid w:val="00446E71"/>
    <w:rsid w:val="004602AA"/>
    <w:rsid w:val="004717CD"/>
    <w:rsid w:val="0047216E"/>
    <w:rsid w:val="004759C7"/>
    <w:rsid w:val="004767D3"/>
    <w:rsid w:val="004779F4"/>
    <w:rsid w:val="004845A4"/>
    <w:rsid w:val="004A077C"/>
    <w:rsid w:val="004A347F"/>
    <w:rsid w:val="004A377E"/>
    <w:rsid w:val="004A3804"/>
    <w:rsid w:val="004A382C"/>
    <w:rsid w:val="004B0A6C"/>
    <w:rsid w:val="004C3399"/>
    <w:rsid w:val="004C5161"/>
    <w:rsid w:val="004C7515"/>
    <w:rsid w:val="004D0F32"/>
    <w:rsid w:val="004D332D"/>
    <w:rsid w:val="004D6784"/>
    <w:rsid w:val="004F327F"/>
    <w:rsid w:val="004F3AA3"/>
    <w:rsid w:val="0050045D"/>
    <w:rsid w:val="005018F7"/>
    <w:rsid w:val="0051021A"/>
    <w:rsid w:val="00524A3E"/>
    <w:rsid w:val="00532ACF"/>
    <w:rsid w:val="005367FA"/>
    <w:rsid w:val="0055601B"/>
    <w:rsid w:val="00557D18"/>
    <w:rsid w:val="00562C01"/>
    <w:rsid w:val="005701E6"/>
    <w:rsid w:val="0059463D"/>
    <w:rsid w:val="0059725E"/>
    <w:rsid w:val="005A76E0"/>
    <w:rsid w:val="005D29C7"/>
    <w:rsid w:val="005D79D5"/>
    <w:rsid w:val="005E1CE7"/>
    <w:rsid w:val="005E52B5"/>
    <w:rsid w:val="005E693E"/>
    <w:rsid w:val="005E78F6"/>
    <w:rsid w:val="005F208D"/>
    <w:rsid w:val="005F436E"/>
    <w:rsid w:val="00602EE0"/>
    <w:rsid w:val="006052E7"/>
    <w:rsid w:val="00613F21"/>
    <w:rsid w:val="006219C8"/>
    <w:rsid w:val="006242EE"/>
    <w:rsid w:val="00637470"/>
    <w:rsid w:val="00641653"/>
    <w:rsid w:val="0065544F"/>
    <w:rsid w:val="006636DB"/>
    <w:rsid w:val="006649A1"/>
    <w:rsid w:val="00675921"/>
    <w:rsid w:val="0068771E"/>
    <w:rsid w:val="0069140D"/>
    <w:rsid w:val="00694B96"/>
    <w:rsid w:val="006A3054"/>
    <w:rsid w:val="006A50C2"/>
    <w:rsid w:val="006A51B7"/>
    <w:rsid w:val="006A5E63"/>
    <w:rsid w:val="006B3591"/>
    <w:rsid w:val="006C7431"/>
    <w:rsid w:val="006D7DF9"/>
    <w:rsid w:val="006F0A2D"/>
    <w:rsid w:val="006F7B00"/>
    <w:rsid w:val="0070307E"/>
    <w:rsid w:val="00705712"/>
    <w:rsid w:val="00723B00"/>
    <w:rsid w:val="007271B6"/>
    <w:rsid w:val="00731D24"/>
    <w:rsid w:val="007412D2"/>
    <w:rsid w:val="00741681"/>
    <w:rsid w:val="00774C1F"/>
    <w:rsid w:val="0077541C"/>
    <w:rsid w:val="00783BCF"/>
    <w:rsid w:val="00784903"/>
    <w:rsid w:val="00787A46"/>
    <w:rsid w:val="0079260D"/>
    <w:rsid w:val="00793DB8"/>
    <w:rsid w:val="0079687F"/>
    <w:rsid w:val="007977C1"/>
    <w:rsid w:val="007A360C"/>
    <w:rsid w:val="007A5FB7"/>
    <w:rsid w:val="007B08C7"/>
    <w:rsid w:val="007B0A7C"/>
    <w:rsid w:val="007B2C71"/>
    <w:rsid w:val="007B3B7C"/>
    <w:rsid w:val="007B4E73"/>
    <w:rsid w:val="007B5071"/>
    <w:rsid w:val="007B6DF1"/>
    <w:rsid w:val="007C38CB"/>
    <w:rsid w:val="007C4383"/>
    <w:rsid w:val="007C5AC1"/>
    <w:rsid w:val="007D4D78"/>
    <w:rsid w:val="007E69BF"/>
    <w:rsid w:val="007F13B1"/>
    <w:rsid w:val="00811D2F"/>
    <w:rsid w:val="008147BB"/>
    <w:rsid w:val="00817314"/>
    <w:rsid w:val="0082029B"/>
    <w:rsid w:val="00820F06"/>
    <w:rsid w:val="00823604"/>
    <w:rsid w:val="008238BD"/>
    <w:rsid w:val="0082687F"/>
    <w:rsid w:val="00831786"/>
    <w:rsid w:val="00833AEB"/>
    <w:rsid w:val="008358F9"/>
    <w:rsid w:val="00840972"/>
    <w:rsid w:val="00850702"/>
    <w:rsid w:val="00863882"/>
    <w:rsid w:val="0086731C"/>
    <w:rsid w:val="00870285"/>
    <w:rsid w:val="00874FAD"/>
    <w:rsid w:val="00875E2F"/>
    <w:rsid w:val="00894451"/>
    <w:rsid w:val="008A1CA3"/>
    <w:rsid w:val="008A3BD1"/>
    <w:rsid w:val="008A5052"/>
    <w:rsid w:val="008B0162"/>
    <w:rsid w:val="008B239B"/>
    <w:rsid w:val="008B3223"/>
    <w:rsid w:val="008B359B"/>
    <w:rsid w:val="008B3C84"/>
    <w:rsid w:val="008C3E2F"/>
    <w:rsid w:val="008C5299"/>
    <w:rsid w:val="008D7674"/>
    <w:rsid w:val="008E7423"/>
    <w:rsid w:val="008E7E4A"/>
    <w:rsid w:val="00901830"/>
    <w:rsid w:val="00904B8F"/>
    <w:rsid w:val="00905315"/>
    <w:rsid w:val="00912A52"/>
    <w:rsid w:val="00916C26"/>
    <w:rsid w:val="009264F5"/>
    <w:rsid w:val="00931D1C"/>
    <w:rsid w:val="009329E7"/>
    <w:rsid w:val="00932E8C"/>
    <w:rsid w:val="00934191"/>
    <w:rsid w:val="009350A1"/>
    <w:rsid w:val="009358CE"/>
    <w:rsid w:val="00941EB2"/>
    <w:rsid w:val="00947136"/>
    <w:rsid w:val="00950460"/>
    <w:rsid w:val="00950F39"/>
    <w:rsid w:val="00954E60"/>
    <w:rsid w:val="0095672B"/>
    <w:rsid w:val="00961CFD"/>
    <w:rsid w:val="00965E48"/>
    <w:rsid w:val="00977922"/>
    <w:rsid w:val="009842BA"/>
    <w:rsid w:val="00993FBB"/>
    <w:rsid w:val="0099514E"/>
    <w:rsid w:val="009A0A5F"/>
    <w:rsid w:val="009A3F6E"/>
    <w:rsid w:val="009B15CF"/>
    <w:rsid w:val="009B1D8D"/>
    <w:rsid w:val="009B1E45"/>
    <w:rsid w:val="009B785B"/>
    <w:rsid w:val="009B7A59"/>
    <w:rsid w:val="009C2399"/>
    <w:rsid w:val="009F42D5"/>
    <w:rsid w:val="00A00F79"/>
    <w:rsid w:val="00A03D1B"/>
    <w:rsid w:val="00A046D4"/>
    <w:rsid w:val="00A0732E"/>
    <w:rsid w:val="00A271F0"/>
    <w:rsid w:val="00A30DA3"/>
    <w:rsid w:val="00A31024"/>
    <w:rsid w:val="00A33D26"/>
    <w:rsid w:val="00A40A76"/>
    <w:rsid w:val="00A41A6B"/>
    <w:rsid w:val="00A44471"/>
    <w:rsid w:val="00A47076"/>
    <w:rsid w:val="00A47E26"/>
    <w:rsid w:val="00A50144"/>
    <w:rsid w:val="00A75374"/>
    <w:rsid w:val="00A77A3A"/>
    <w:rsid w:val="00A86066"/>
    <w:rsid w:val="00A97709"/>
    <w:rsid w:val="00AB00E6"/>
    <w:rsid w:val="00AB1D67"/>
    <w:rsid w:val="00AB7F46"/>
    <w:rsid w:val="00AC05CE"/>
    <w:rsid w:val="00AC7061"/>
    <w:rsid w:val="00AD03F4"/>
    <w:rsid w:val="00AD4ED6"/>
    <w:rsid w:val="00AD7A70"/>
    <w:rsid w:val="00B0057D"/>
    <w:rsid w:val="00B025CD"/>
    <w:rsid w:val="00B12AB0"/>
    <w:rsid w:val="00B215B9"/>
    <w:rsid w:val="00B3156D"/>
    <w:rsid w:val="00B333EC"/>
    <w:rsid w:val="00B568F7"/>
    <w:rsid w:val="00B60F45"/>
    <w:rsid w:val="00B613BE"/>
    <w:rsid w:val="00B62794"/>
    <w:rsid w:val="00B67348"/>
    <w:rsid w:val="00B74A02"/>
    <w:rsid w:val="00B8386C"/>
    <w:rsid w:val="00B83D82"/>
    <w:rsid w:val="00B84455"/>
    <w:rsid w:val="00B9194D"/>
    <w:rsid w:val="00B92C29"/>
    <w:rsid w:val="00BA1C0B"/>
    <w:rsid w:val="00BB1117"/>
    <w:rsid w:val="00BB4709"/>
    <w:rsid w:val="00BD4A1A"/>
    <w:rsid w:val="00BD7B20"/>
    <w:rsid w:val="00BE28AA"/>
    <w:rsid w:val="00BE4329"/>
    <w:rsid w:val="00BE44A6"/>
    <w:rsid w:val="00BE5855"/>
    <w:rsid w:val="00BE65EE"/>
    <w:rsid w:val="00BF19E5"/>
    <w:rsid w:val="00BF5087"/>
    <w:rsid w:val="00BF73C3"/>
    <w:rsid w:val="00C00C4F"/>
    <w:rsid w:val="00C00DB2"/>
    <w:rsid w:val="00C17EF3"/>
    <w:rsid w:val="00C2202E"/>
    <w:rsid w:val="00C25F8A"/>
    <w:rsid w:val="00C35EDC"/>
    <w:rsid w:val="00C4167C"/>
    <w:rsid w:val="00C47F14"/>
    <w:rsid w:val="00C47FD2"/>
    <w:rsid w:val="00C51C04"/>
    <w:rsid w:val="00C64F89"/>
    <w:rsid w:val="00C678BE"/>
    <w:rsid w:val="00C70816"/>
    <w:rsid w:val="00C80585"/>
    <w:rsid w:val="00C9087A"/>
    <w:rsid w:val="00C925C2"/>
    <w:rsid w:val="00CA24BD"/>
    <w:rsid w:val="00CB06E2"/>
    <w:rsid w:val="00CB3971"/>
    <w:rsid w:val="00CB3C41"/>
    <w:rsid w:val="00CB6200"/>
    <w:rsid w:val="00CC07B2"/>
    <w:rsid w:val="00CC429D"/>
    <w:rsid w:val="00CC69D5"/>
    <w:rsid w:val="00CD6E15"/>
    <w:rsid w:val="00CE5837"/>
    <w:rsid w:val="00CE70CE"/>
    <w:rsid w:val="00CF2FAA"/>
    <w:rsid w:val="00D02020"/>
    <w:rsid w:val="00D02740"/>
    <w:rsid w:val="00D0293E"/>
    <w:rsid w:val="00D05A90"/>
    <w:rsid w:val="00D070DF"/>
    <w:rsid w:val="00D077A1"/>
    <w:rsid w:val="00D24160"/>
    <w:rsid w:val="00D35A14"/>
    <w:rsid w:val="00D62BD7"/>
    <w:rsid w:val="00D640BE"/>
    <w:rsid w:val="00D67D90"/>
    <w:rsid w:val="00D7045B"/>
    <w:rsid w:val="00D77BCA"/>
    <w:rsid w:val="00D92A5E"/>
    <w:rsid w:val="00D94811"/>
    <w:rsid w:val="00D960D4"/>
    <w:rsid w:val="00DA192E"/>
    <w:rsid w:val="00DB230D"/>
    <w:rsid w:val="00DC51B8"/>
    <w:rsid w:val="00DD1828"/>
    <w:rsid w:val="00DD4971"/>
    <w:rsid w:val="00DD4AFA"/>
    <w:rsid w:val="00DE32EA"/>
    <w:rsid w:val="00DE3BEB"/>
    <w:rsid w:val="00DE520E"/>
    <w:rsid w:val="00DF1E2B"/>
    <w:rsid w:val="00DF3EE3"/>
    <w:rsid w:val="00E024A0"/>
    <w:rsid w:val="00E03AE3"/>
    <w:rsid w:val="00E1073B"/>
    <w:rsid w:val="00E2228B"/>
    <w:rsid w:val="00E22328"/>
    <w:rsid w:val="00E31118"/>
    <w:rsid w:val="00E32AC5"/>
    <w:rsid w:val="00E33E4C"/>
    <w:rsid w:val="00E3565C"/>
    <w:rsid w:val="00E356CD"/>
    <w:rsid w:val="00E40F60"/>
    <w:rsid w:val="00E4276D"/>
    <w:rsid w:val="00E548B8"/>
    <w:rsid w:val="00E6032D"/>
    <w:rsid w:val="00E62968"/>
    <w:rsid w:val="00E72DD3"/>
    <w:rsid w:val="00E77961"/>
    <w:rsid w:val="00EA1F8B"/>
    <w:rsid w:val="00EA3CE8"/>
    <w:rsid w:val="00EB319C"/>
    <w:rsid w:val="00EB7208"/>
    <w:rsid w:val="00EB7E7E"/>
    <w:rsid w:val="00EC4C79"/>
    <w:rsid w:val="00EC6937"/>
    <w:rsid w:val="00EC7F40"/>
    <w:rsid w:val="00ED7200"/>
    <w:rsid w:val="00ED7E23"/>
    <w:rsid w:val="00EE0792"/>
    <w:rsid w:val="00EF1387"/>
    <w:rsid w:val="00F0239D"/>
    <w:rsid w:val="00F03261"/>
    <w:rsid w:val="00F16B66"/>
    <w:rsid w:val="00F25659"/>
    <w:rsid w:val="00F25685"/>
    <w:rsid w:val="00F27281"/>
    <w:rsid w:val="00F3024E"/>
    <w:rsid w:val="00F366F2"/>
    <w:rsid w:val="00F36E4D"/>
    <w:rsid w:val="00F428C0"/>
    <w:rsid w:val="00F46124"/>
    <w:rsid w:val="00F50B01"/>
    <w:rsid w:val="00F56623"/>
    <w:rsid w:val="00F624D3"/>
    <w:rsid w:val="00F67C71"/>
    <w:rsid w:val="00F70129"/>
    <w:rsid w:val="00F70948"/>
    <w:rsid w:val="00F71B0F"/>
    <w:rsid w:val="00F756F1"/>
    <w:rsid w:val="00F8743F"/>
    <w:rsid w:val="00F93CF3"/>
    <w:rsid w:val="00F9567B"/>
    <w:rsid w:val="00F95DC9"/>
    <w:rsid w:val="00FA08F0"/>
    <w:rsid w:val="00FA315F"/>
    <w:rsid w:val="00FA4C6F"/>
    <w:rsid w:val="00FD4F80"/>
    <w:rsid w:val="00FE63D4"/>
    <w:rsid w:val="00FF0E8C"/>
    <w:rsid w:val="00FF1856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8B3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C606-1F4E-4431-AD04-A53C75F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brankac</cp:lastModifiedBy>
  <cp:revision>5</cp:revision>
  <dcterms:created xsi:type="dcterms:W3CDTF">2019-12-31T09:41:00Z</dcterms:created>
  <dcterms:modified xsi:type="dcterms:W3CDTF">2020-01-27T11:11:00Z</dcterms:modified>
</cp:coreProperties>
</file>